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1"/>
        <w:rPr>
          <w:color w:val="auto"/>
        </w:rPr>
      </w:pPr>
      <w:bookmarkStart w:id="0" w:name="_GoBack"/>
      <w:bookmarkEnd w:id="0"/>
      <w:r>
        <w:rPr>
          <w:b/>
          <w:color w:val="auto"/>
          <w:sz w:val="36"/>
        </w:rPr>
        <w:t>采购需求</w:t>
      </w:r>
    </w:p>
    <w:p>
      <w:pPr>
        <w:rPr>
          <w:color w:val="auto"/>
        </w:rPr>
      </w:pPr>
      <w:r>
        <w:rPr>
          <w:b/>
          <w:color w:val="auto"/>
          <w:sz w:val="28"/>
        </w:rPr>
        <w:t>一、项目概况：</w:t>
      </w:r>
    </w:p>
    <w:p>
      <w:pPr>
        <w:ind w:firstLine="480"/>
        <w:rPr>
          <w:color w:val="auto"/>
        </w:rPr>
      </w:pPr>
    </w:p>
    <w:p>
      <w:pPr>
        <w:rPr>
          <w:color w:val="auto"/>
          <w:szCs w:val="21"/>
        </w:rPr>
      </w:pPr>
      <w:r>
        <w:rPr>
          <w:color w:val="auto"/>
          <w:szCs w:val="21"/>
        </w:rPr>
        <w:t>1、</w:t>
      </w:r>
      <w:r>
        <w:rPr>
          <w:rFonts w:hint="eastAsia"/>
          <w:color w:val="auto"/>
          <w:szCs w:val="21"/>
        </w:rPr>
        <w:t>供应商须对本项目为单位（有划分包组的，则以包组为单位）的标的物进行整体投标，任何只对其中一部分内容进行的投标都被视为无效投标</w:t>
      </w:r>
      <w:r>
        <w:rPr>
          <w:color w:val="auto"/>
          <w:szCs w:val="21"/>
        </w:rPr>
        <w:t>。</w:t>
      </w:r>
    </w:p>
    <w:p>
      <w:pPr>
        <w:rPr>
          <w:rFonts w:hint="eastAsia"/>
          <w:color w:val="auto"/>
          <w:szCs w:val="21"/>
        </w:rPr>
      </w:pPr>
      <w:r>
        <w:rPr>
          <w:color w:val="auto"/>
          <w:szCs w:val="21"/>
        </w:rPr>
        <w:t>2、</w:t>
      </w:r>
      <w:r>
        <w:rPr>
          <w:rFonts w:hint="eastAsia"/>
          <w:color w:val="auto"/>
          <w:szCs w:val="21"/>
        </w:rPr>
        <w:t>磋商文件中，凡标有“★”的地方均为实质性响应条款，供应商若有一项带“★”的条款未响应或不满足，将按无效响应处理。</w:t>
      </w:r>
    </w:p>
    <w:p>
      <w:pPr>
        <w:rPr>
          <w:color w:val="auto"/>
          <w:szCs w:val="21"/>
        </w:rPr>
      </w:pPr>
      <w:r>
        <w:rPr>
          <w:color w:val="auto"/>
          <w:szCs w:val="21"/>
        </w:rPr>
        <w:t>3、中小企业声明函中，本项目</w:t>
      </w:r>
      <w:r>
        <w:rPr>
          <w:b/>
          <w:color w:val="auto"/>
          <w:szCs w:val="21"/>
          <w:u w:val="single"/>
        </w:rPr>
        <w:t xml:space="preserve">  </w:t>
      </w:r>
      <w:r>
        <w:rPr>
          <w:rFonts w:hint="eastAsia"/>
          <w:b/>
          <w:color w:val="auto"/>
          <w:szCs w:val="21"/>
          <w:u w:val="single"/>
        </w:rPr>
        <w:t>广东省文化和旅游厅主流电视媒体宣传推广项目</w:t>
      </w:r>
      <w:r>
        <w:rPr>
          <w:b/>
          <w:color w:val="auto"/>
          <w:szCs w:val="21"/>
          <w:u w:val="single"/>
        </w:rPr>
        <w:t xml:space="preserve"> </w:t>
      </w:r>
      <w:r>
        <w:rPr>
          <w:color w:val="auto"/>
          <w:szCs w:val="21"/>
        </w:rPr>
        <w:t>属于</w:t>
      </w:r>
      <w:r>
        <w:rPr>
          <w:b/>
          <w:color w:val="auto"/>
          <w:szCs w:val="21"/>
          <w:u w:val="single"/>
        </w:rPr>
        <w:t xml:space="preserve"> </w:t>
      </w:r>
      <w:r>
        <w:rPr>
          <w:rFonts w:hint="eastAsia"/>
          <w:b/>
          <w:color w:val="auto"/>
          <w:szCs w:val="21"/>
          <w:u w:val="single"/>
        </w:rPr>
        <w:t>其他未列明行业</w:t>
      </w:r>
      <w:r>
        <w:rPr>
          <w:b/>
          <w:color w:val="auto"/>
          <w:szCs w:val="21"/>
          <w:u w:val="single"/>
        </w:rPr>
        <w:t xml:space="preserve"> </w:t>
      </w:r>
      <w:r>
        <w:rPr>
          <w:color w:val="auto"/>
          <w:szCs w:val="21"/>
        </w:rPr>
        <w:t>行业。</w:t>
      </w:r>
    </w:p>
    <w:p>
      <w:pPr>
        <w:rPr>
          <w:color w:val="auto"/>
          <w:szCs w:val="21"/>
        </w:rPr>
      </w:pPr>
      <w:r>
        <w:rPr>
          <w:color w:val="auto"/>
          <w:szCs w:val="21"/>
        </w:rPr>
        <w:t>4、供应商应对所投采购包的全部内容进行报价，不允许只对采购包其中部分内容进行报价。</w:t>
      </w:r>
    </w:p>
    <w:p>
      <w:pPr>
        <w:rPr>
          <w:rFonts w:hint="eastAsia"/>
          <w:color w:val="auto"/>
          <w:szCs w:val="21"/>
        </w:rPr>
      </w:pPr>
      <w:r>
        <w:rPr>
          <w:rFonts w:hint="eastAsia"/>
          <w:color w:val="auto"/>
          <w:szCs w:val="21"/>
        </w:rPr>
        <w:t>5、</w:t>
      </w:r>
      <w:r>
        <w:rPr>
          <w:color w:val="auto"/>
          <w:szCs w:val="21"/>
        </w:rPr>
        <w:t>本项目纸质版响应文件必须是通过智慧云平台投标客户端软件生成的加了系统水印的响应文件打印的纸质版，否则视为无效纸质响应文件。纸质响应文件须在投标截止前递交至开标地点，逾期递交的，代理机构将不再接收，但不造成响应无效。</w:t>
      </w:r>
    </w:p>
    <w:p>
      <w:pPr>
        <w:rPr>
          <w:rFonts w:hint="eastAsia"/>
          <w:color w:val="auto"/>
          <w:szCs w:val="21"/>
        </w:rPr>
      </w:pPr>
      <w:r>
        <w:rPr>
          <w:rFonts w:hint="eastAsia"/>
          <w:color w:val="auto"/>
          <w:szCs w:val="21"/>
        </w:rPr>
        <w:t>6、项目概况：</w:t>
      </w:r>
    </w:p>
    <w:p>
      <w:pPr>
        <w:ind w:firstLine="420" w:firstLineChars="200"/>
        <w:rPr>
          <w:rFonts w:hint="eastAsia" w:ascii="宋体" w:hAnsi="宋体"/>
          <w:color w:val="auto"/>
          <w:szCs w:val="21"/>
          <w:shd w:val="clear" w:color="auto" w:fill="FFFFFF"/>
        </w:rPr>
      </w:pPr>
      <w:r>
        <w:rPr>
          <w:rFonts w:hint="eastAsia" w:ascii="宋体" w:hAnsi="宋体"/>
          <w:color w:val="auto"/>
          <w:kern w:val="0"/>
          <w:szCs w:val="21"/>
        </w:rPr>
        <w:t>为深入学习贯彻习近平新时代中国特色社会主义思想，全面贯彻习近平总书记关于文化和旅游工作重要论述和对广东系列重要讲话、重要指示批示精神，推动广东塑造与经济实力相匹配的文化优势，建设更高水平的文化和旅游强省，</w:t>
      </w:r>
      <w:r>
        <w:rPr>
          <w:rFonts w:hint="eastAsia" w:ascii="宋体" w:hAnsi="宋体"/>
          <w:color w:val="auto"/>
          <w:szCs w:val="21"/>
          <w:shd w:val="clear" w:color="auto" w:fill="FFFFFF"/>
        </w:rPr>
        <w:t>建设具有国际影响力的人文湾区和休闲湾区。通过开展文化旅游融媒体宣传推广，充分发挥广东区位、生态、文化、旅游等多重资源优势，不断挖掘文化旅游内涵，深入推进“文化+旅游”发展战略，增强全域旅游品牌影响力，提升广东文化旅游在粤港澳大湾区乃至全国范围的知名度。</w:t>
      </w:r>
    </w:p>
    <w:p>
      <w:pPr>
        <w:rPr>
          <w:rFonts w:hint="eastAsia" w:ascii="宋体" w:hAnsi="宋体"/>
          <w:color w:val="auto"/>
          <w:szCs w:val="21"/>
          <w:shd w:val="clear" w:color="auto" w:fill="FFFFFF"/>
        </w:rPr>
      </w:pPr>
      <w:r>
        <w:rPr>
          <w:rFonts w:hint="eastAsia" w:ascii="宋体" w:hAnsi="宋体"/>
          <w:color w:val="auto"/>
          <w:szCs w:val="21"/>
          <w:shd w:val="clear" w:color="auto" w:fill="FFFFFF"/>
        </w:rPr>
        <w:t>7、</w:t>
      </w:r>
      <w:r>
        <w:rPr>
          <w:color w:val="auto"/>
        </w:rPr>
        <w:t>服务标准：提供的服务须满足采购需求的要求、响应文件中的相关承诺及合同约定要求</w:t>
      </w:r>
      <w:r>
        <w:rPr>
          <w:rFonts w:hint="eastAsia"/>
          <w:color w:val="auto"/>
        </w:rPr>
        <w:t>。</w:t>
      </w:r>
    </w:p>
    <w:p>
      <w:pPr>
        <w:rPr>
          <w:color w:val="auto"/>
        </w:rPr>
      </w:pPr>
    </w:p>
    <w:p>
      <w:pPr>
        <w:ind w:firstLine="480"/>
        <w:rPr>
          <w:color w:val="auto"/>
        </w:rPr>
      </w:pPr>
    </w:p>
    <w:p>
      <w:pPr>
        <w:rPr>
          <w:color w:val="auto"/>
        </w:rPr>
      </w:pPr>
    </w:p>
    <w:p>
      <w:pPr>
        <w:rPr>
          <w:color w:val="auto"/>
        </w:rPr>
      </w:pPr>
      <w:r>
        <w:rPr>
          <w:color w:val="auto"/>
        </w:rPr>
        <w:t>采购包1（</w:t>
      </w:r>
      <w:r>
        <w:rPr>
          <w:rFonts w:hint="eastAsia"/>
          <w:color w:val="auto"/>
        </w:rPr>
        <w:t>广东省文化和旅游厅主流电视媒体宣传推广项目</w:t>
      </w:r>
      <w:r>
        <w:rPr>
          <w:color w:val="auto"/>
        </w:rPr>
        <w:t>）</w:t>
      </w:r>
      <w:r>
        <w:rPr>
          <w:b/>
          <w:color w:val="auto"/>
        </w:rPr>
        <w:t>1.主要商务要求</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noWrap w:val="0"/>
            <w:vAlign w:val="top"/>
          </w:tcPr>
          <w:p>
            <w:pPr>
              <w:rPr>
                <w:color w:val="auto"/>
              </w:rPr>
            </w:pPr>
            <w:r>
              <w:rPr>
                <w:color w:val="auto"/>
              </w:rPr>
              <w:t>标的提供的时间</w:t>
            </w:r>
          </w:p>
        </w:tc>
        <w:tc>
          <w:tcPr>
            <w:tcW w:w="4153" w:type="dxa"/>
            <w:noWrap w:val="0"/>
            <w:vAlign w:val="top"/>
          </w:tcPr>
          <w:p>
            <w:pPr>
              <w:rPr>
                <w:color w:val="auto"/>
              </w:rPr>
            </w:pPr>
          </w:p>
          <w:p>
            <w:pPr>
              <w:rPr>
                <w:color w:val="auto"/>
              </w:rPr>
            </w:pPr>
            <w:r>
              <w:rPr>
                <w:color w:val="auto"/>
              </w:rPr>
              <w:t>自合同签订之日起1年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noWrap w:val="0"/>
            <w:vAlign w:val="top"/>
          </w:tcPr>
          <w:p>
            <w:pPr>
              <w:rPr>
                <w:color w:val="auto"/>
              </w:rPr>
            </w:pPr>
            <w:r>
              <w:rPr>
                <w:color w:val="auto"/>
              </w:rPr>
              <w:t>标的提供的地点</w:t>
            </w:r>
          </w:p>
        </w:tc>
        <w:tc>
          <w:tcPr>
            <w:tcW w:w="4153" w:type="dxa"/>
            <w:noWrap w:val="0"/>
            <w:vAlign w:val="top"/>
          </w:tcPr>
          <w:p>
            <w:pPr>
              <w:rPr>
                <w:color w:val="auto"/>
              </w:rPr>
            </w:pPr>
          </w:p>
          <w:p>
            <w:pPr>
              <w:rPr>
                <w:color w:val="auto"/>
              </w:rPr>
            </w:pPr>
            <w:r>
              <w:rPr>
                <w:color w:val="auto"/>
              </w:rP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noWrap w:val="0"/>
            <w:vAlign w:val="top"/>
          </w:tcPr>
          <w:p>
            <w:pPr>
              <w:rPr>
                <w:color w:val="auto"/>
              </w:rPr>
            </w:pPr>
            <w:r>
              <w:rPr>
                <w:color w:val="auto"/>
              </w:rPr>
              <w:t>付款方式</w:t>
            </w:r>
          </w:p>
        </w:tc>
        <w:tc>
          <w:tcPr>
            <w:tcW w:w="4153" w:type="dxa"/>
            <w:noWrap w:val="0"/>
            <w:vAlign w:val="top"/>
          </w:tcPr>
          <w:p>
            <w:pPr>
              <w:rPr>
                <w:color w:val="auto"/>
              </w:rPr>
            </w:pPr>
            <w:r>
              <w:rPr>
                <w:color w:val="auto"/>
              </w:rPr>
              <w:t>1期：支付比例70%,</w:t>
            </w:r>
            <w:r>
              <w:rPr>
                <w:rFonts w:hint="eastAsia"/>
                <w:color w:val="auto"/>
              </w:rPr>
              <w:t>甲方在收到乙方提供的等额有效发票后5个工作日内向乙方支付合同总价的70%作为预付款</w:t>
            </w:r>
            <w:r>
              <w:rPr>
                <w:color w:val="auto"/>
              </w:rPr>
              <w:t>；</w:t>
            </w:r>
          </w:p>
          <w:p>
            <w:pPr>
              <w:rPr>
                <w:color w:val="auto"/>
              </w:rPr>
            </w:pPr>
          </w:p>
          <w:p>
            <w:pPr>
              <w:rPr>
                <w:color w:val="auto"/>
              </w:rPr>
            </w:pPr>
            <w:r>
              <w:rPr>
                <w:color w:val="auto"/>
              </w:rPr>
              <w:t>2期：支付比例30%,项目完成后，成交供应商出具项目总结验收报告，经采购人验收审核通过后采购人收到成交供应商提供的等额有效发票后10日内向成交供应商支付合同总价的30%。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noWrap w:val="0"/>
            <w:vAlign w:val="top"/>
          </w:tcPr>
          <w:p>
            <w:pPr>
              <w:rPr>
                <w:color w:val="auto"/>
              </w:rPr>
            </w:pPr>
            <w:r>
              <w:rPr>
                <w:color w:val="auto"/>
              </w:rPr>
              <w:t>验收要求</w:t>
            </w:r>
          </w:p>
        </w:tc>
        <w:tc>
          <w:tcPr>
            <w:tcW w:w="4153" w:type="dxa"/>
            <w:noWrap w:val="0"/>
            <w:vAlign w:val="top"/>
          </w:tcPr>
          <w:p>
            <w:pPr>
              <w:rPr>
                <w:color w:val="auto"/>
              </w:rPr>
            </w:pPr>
            <w:r>
              <w:rPr>
                <w:color w:val="auto"/>
              </w:rPr>
              <w:t>1期：根据本项目采购需求的要求及成交供应商响应文件相关承诺，由采购人和成交供应商共同组织验收。包括但不限于：服务响应情况、服务质量、文化和旅游宣传推广成效及热度等方面，采购人有权根据验收结果单方决定对成交供应商的服务费进行扣罚并作为最终对项目验收及向成交供应商支付费用的依据，成交供应商对此不持异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noWrap w:val="0"/>
            <w:vAlign w:val="top"/>
          </w:tcPr>
          <w:p>
            <w:pPr>
              <w:rPr>
                <w:color w:val="auto"/>
              </w:rPr>
            </w:pPr>
            <w:r>
              <w:rPr>
                <w:color w:val="auto"/>
              </w:rPr>
              <w:t>履约保证金</w:t>
            </w:r>
          </w:p>
        </w:tc>
        <w:tc>
          <w:tcPr>
            <w:tcW w:w="4153" w:type="dxa"/>
            <w:noWrap w:val="0"/>
            <w:vAlign w:val="top"/>
          </w:tcPr>
          <w:p>
            <w:pPr>
              <w:rPr>
                <w:color w:val="auto"/>
              </w:rPr>
            </w:pPr>
            <w:r>
              <w:rPr>
                <w:color w:val="auto"/>
              </w:rP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noWrap w:val="0"/>
            <w:vAlign w:val="top"/>
          </w:tcPr>
          <w:p>
            <w:pPr>
              <w:rPr>
                <w:color w:val="auto"/>
              </w:rPr>
            </w:pPr>
            <w:r>
              <w:rPr>
                <w:color w:val="auto"/>
              </w:rPr>
              <w:t>其他</w:t>
            </w:r>
          </w:p>
        </w:tc>
        <w:tc>
          <w:tcPr>
            <w:tcW w:w="4153" w:type="dxa"/>
            <w:noWrap w:val="0"/>
            <w:vAlign w:val="top"/>
          </w:tcPr>
          <w:p>
            <w:pPr>
              <w:rPr>
                <w:color w:val="auto"/>
              </w:rPr>
            </w:pPr>
            <w:r>
              <w:rPr>
                <w:color w:val="auto"/>
              </w:rPr>
              <w:t>1、验收要求（补充），完成全部合同约定的服务内容且采购人收到验收申请后7日内进行验收。</w:t>
            </w:r>
          </w:p>
        </w:tc>
      </w:tr>
    </w:tbl>
    <w:p>
      <w:pPr>
        <w:rPr>
          <w:color w:val="auto"/>
        </w:rPr>
      </w:pPr>
      <w:r>
        <w:rPr>
          <w:b/>
          <w:color w:val="auto"/>
        </w:rPr>
        <w:t>2.技术标准与要求</w:t>
      </w:r>
    </w:p>
    <w:p>
      <w:pPr>
        <w:rPr>
          <w:color w:val="auto"/>
        </w:rPr>
      </w:pPr>
    </w:p>
    <w:p>
      <w:pPr>
        <w:rPr>
          <w:color w:val="auto"/>
        </w:rPr>
      </w:pP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3"/>
        <w:gridCol w:w="844"/>
        <w:gridCol w:w="844"/>
        <w:gridCol w:w="844"/>
        <w:gridCol w:w="872"/>
        <w:gridCol w:w="1332"/>
        <w:gridCol w:w="1332"/>
        <w:gridCol w:w="767"/>
        <w:gridCol w:w="84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noWrap w:val="0"/>
            <w:vAlign w:val="top"/>
          </w:tcPr>
          <w:p>
            <w:pPr>
              <w:jc w:val="center"/>
              <w:rPr>
                <w:color w:val="auto"/>
              </w:rPr>
            </w:pPr>
            <w:r>
              <w:rPr>
                <w:color w:val="auto"/>
              </w:rPr>
              <w:t>序号</w:t>
            </w:r>
          </w:p>
        </w:tc>
        <w:tc>
          <w:tcPr>
            <w:tcW w:w="933" w:type="dxa"/>
            <w:noWrap w:val="0"/>
            <w:vAlign w:val="top"/>
          </w:tcPr>
          <w:p>
            <w:pPr>
              <w:jc w:val="center"/>
              <w:rPr>
                <w:color w:val="auto"/>
              </w:rPr>
            </w:pPr>
            <w:r>
              <w:rPr>
                <w:color w:val="auto"/>
              </w:rPr>
              <w:t>品目名称</w:t>
            </w:r>
          </w:p>
        </w:tc>
        <w:tc>
          <w:tcPr>
            <w:tcW w:w="933" w:type="dxa"/>
            <w:noWrap w:val="0"/>
            <w:vAlign w:val="top"/>
          </w:tcPr>
          <w:p>
            <w:pPr>
              <w:jc w:val="center"/>
              <w:rPr>
                <w:color w:val="auto"/>
              </w:rPr>
            </w:pPr>
            <w:r>
              <w:rPr>
                <w:color w:val="auto"/>
              </w:rPr>
              <w:t>标的名称</w:t>
            </w:r>
          </w:p>
        </w:tc>
        <w:tc>
          <w:tcPr>
            <w:tcW w:w="933" w:type="dxa"/>
            <w:noWrap w:val="0"/>
            <w:vAlign w:val="top"/>
          </w:tcPr>
          <w:p>
            <w:pPr>
              <w:jc w:val="center"/>
              <w:rPr>
                <w:color w:val="auto"/>
              </w:rPr>
            </w:pPr>
            <w:r>
              <w:rPr>
                <w:color w:val="auto"/>
              </w:rPr>
              <w:t>单位</w:t>
            </w:r>
          </w:p>
        </w:tc>
        <w:tc>
          <w:tcPr>
            <w:tcW w:w="933" w:type="dxa"/>
            <w:noWrap w:val="0"/>
            <w:vAlign w:val="top"/>
          </w:tcPr>
          <w:p>
            <w:pPr>
              <w:jc w:val="center"/>
              <w:rPr>
                <w:color w:val="auto"/>
              </w:rPr>
            </w:pPr>
            <w:r>
              <w:rPr>
                <w:color w:val="auto"/>
              </w:rPr>
              <w:t>数量</w:t>
            </w:r>
          </w:p>
        </w:tc>
        <w:tc>
          <w:tcPr>
            <w:tcW w:w="933" w:type="dxa"/>
            <w:noWrap w:val="0"/>
            <w:vAlign w:val="top"/>
          </w:tcPr>
          <w:p>
            <w:pPr>
              <w:jc w:val="center"/>
              <w:rPr>
                <w:color w:val="auto"/>
              </w:rPr>
            </w:pPr>
            <w:r>
              <w:rPr>
                <w:color w:val="auto"/>
              </w:rPr>
              <w:t>分项预算单价（元）</w:t>
            </w:r>
          </w:p>
        </w:tc>
        <w:tc>
          <w:tcPr>
            <w:tcW w:w="933" w:type="dxa"/>
            <w:noWrap w:val="0"/>
            <w:vAlign w:val="top"/>
          </w:tcPr>
          <w:p>
            <w:pPr>
              <w:jc w:val="center"/>
              <w:rPr>
                <w:color w:val="auto"/>
              </w:rPr>
            </w:pPr>
            <w:r>
              <w:rPr>
                <w:color w:val="auto"/>
              </w:rPr>
              <w:t>分项预算总价（元）</w:t>
            </w:r>
          </w:p>
        </w:tc>
        <w:tc>
          <w:tcPr>
            <w:tcW w:w="840" w:type="dxa"/>
            <w:noWrap w:val="0"/>
            <w:vAlign w:val="top"/>
          </w:tcPr>
          <w:p>
            <w:pPr>
              <w:rPr>
                <w:color w:val="auto"/>
              </w:rPr>
            </w:pPr>
            <w:r>
              <w:rPr>
                <w:color w:val="auto"/>
              </w:rPr>
              <w:t>所属行业</w:t>
            </w:r>
          </w:p>
        </w:tc>
        <w:tc>
          <w:tcPr>
            <w:tcW w:w="933" w:type="dxa"/>
            <w:noWrap w:val="0"/>
            <w:vAlign w:val="top"/>
          </w:tcPr>
          <w:p>
            <w:pPr>
              <w:jc w:val="center"/>
              <w:rPr>
                <w:color w:val="auto"/>
              </w:rPr>
            </w:pPr>
            <w:r>
              <w:rPr>
                <w:color w:val="auto"/>
              </w:rP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noWrap w:val="0"/>
            <w:vAlign w:val="top"/>
          </w:tcPr>
          <w:p>
            <w:pPr>
              <w:jc w:val="center"/>
              <w:rPr>
                <w:color w:val="auto"/>
              </w:rPr>
            </w:pPr>
            <w:r>
              <w:rPr>
                <w:color w:val="auto"/>
              </w:rPr>
              <w:t>1</w:t>
            </w:r>
          </w:p>
        </w:tc>
        <w:tc>
          <w:tcPr>
            <w:tcW w:w="933" w:type="dxa"/>
            <w:noWrap w:val="0"/>
            <w:vAlign w:val="top"/>
          </w:tcPr>
          <w:p>
            <w:pPr>
              <w:jc w:val="left"/>
              <w:rPr>
                <w:color w:val="auto"/>
              </w:rPr>
            </w:pPr>
            <w:r>
              <w:rPr>
                <w:color w:val="auto"/>
              </w:rPr>
              <w:t>广告服务</w:t>
            </w:r>
          </w:p>
        </w:tc>
        <w:tc>
          <w:tcPr>
            <w:tcW w:w="933" w:type="dxa"/>
            <w:noWrap w:val="0"/>
            <w:vAlign w:val="top"/>
          </w:tcPr>
          <w:p>
            <w:pPr>
              <w:jc w:val="left"/>
              <w:rPr>
                <w:color w:val="auto"/>
              </w:rPr>
            </w:pPr>
            <w:r>
              <w:rPr>
                <w:rFonts w:hint="eastAsia"/>
                <w:color w:val="auto"/>
              </w:rPr>
              <w:t>广东省文化和旅游厅主流电视媒体宣传推广项目</w:t>
            </w:r>
          </w:p>
        </w:tc>
        <w:tc>
          <w:tcPr>
            <w:tcW w:w="933" w:type="dxa"/>
            <w:noWrap w:val="0"/>
            <w:vAlign w:val="top"/>
          </w:tcPr>
          <w:p>
            <w:pPr>
              <w:jc w:val="left"/>
              <w:rPr>
                <w:color w:val="auto"/>
              </w:rPr>
            </w:pPr>
            <w:r>
              <w:rPr>
                <w:color w:val="auto"/>
              </w:rPr>
              <w:t>项</w:t>
            </w:r>
          </w:p>
        </w:tc>
        <w:tc>
          <w:tcPr>
            <w:tcW w:w="933" w:type="dxa"/>
            <w:noWrap w:val="0"/>
            <w:vAlign w:val="top"/>
          </w:tcPr>
          <w:p>
            <w:pPr>
              <w:jc w:val="right"/>
              <w:rPr>
                <w:color w:val="auto"/>
              </w:rPr>
            </w:pPr>
            <w:r>
              <w:rPr>
                <w:color w:val="auto"/>
              </w:rPr>
              <w:t>1.00</w:t>
            </w:r>
          </w:p>
        </w:tc>
        <w:tc>
          <w:tcPr>
            <w:tcW w:w="933" w:type="dxa"/>
            <w:noWrap w:val="0"/>
            <w:vAlign w:val="top"/>
          </w:tcPr>
          <w:p>
            <w:pPr>
              <w:jc w:val="right"/>
              <w:rPr>
                <w:color w:val="auto"/>
              </w:rPr>
            </w:pPr>
            <w:r>
              <w:rPr>
                <w:color w:val="auto"/>
              </w:rPr>
              <w:t>3,000,000.00</w:t>
            </w:r>
          </w:p>
        </w:tc>
        <w:tc>
          <w:tcPr>
            <w:tcW w:w="933" w:type="dxa"/>
            <w:noWrap w:val="0"/>
            <w:vAlign w:val="top"/>
          </w:tcPr>
          <w:p>
            <w:pPr>
              <w:jc w:val="right"/>
              <w:rPr>
                <w:color w:val="auto"/>
              </w:rPr>
            </w:pPr>
            <w:r>
              <w:rPr>
                <w:color w:val="auto"/>
              </w:rPr>
              <w:t>3,000,000.00</w:t>
            </w:r>
          </w:p>
        </w:tc>
        <w:tc>
          <w:tcPr>
            <w:tcW w:w="840" w:type="dxa"/>
            <w:noWrap w:val="0"/>
            <w:vAlign w:val="top"/>
          </w:tcPr>
          <w:p>
            <w:pPr>
              <w:rPr>
                <w:color w:val="auto"/>
              </w:rPr>
            </w:pPr>
            <w:r>
              <w:rPr>
                <w:color w:val="auto"/>
              </w:rPr>
              <w:t>其他未列明行业</w:t>
            </w:r>
          </w:p>
        </w:tc>
        <w:tc>
          <w:tcPr>
            <w:tcW w:w="933" w:type="dxa"/>
            <w:noWrap w:val="0"/>
            <w:vAlign w:val="top"/>
          </w:tcPr>
          <w:p>
            <w:pPr>
              <w:rPr>
                <w:color w:val="auto"/>
              </w:rPr>
            </w:pPr>
            <w:r>
              <w:rPr>
                <w:color w:val="auto"/>
              </w:rPr>
              <w:t>详见附表一</w:t>
            </w:r>
          </w:p>
        </w:tc>
      </w:tr>
    </w:tbl>
    <w:p>
      <w:pPr>
        <w:rPr>
          <w:color w:val="auto"/>
        </w:rPr>
      </w:pPr>
    </w:p>
    <w:p>
      <w:pPr>
        <w:rPr>
          <w:color w:val="auto"/>
        </w:rPr>
      </w:pPr>
      <w:r>
        <w:rPr>
          <w:b/>
          <w:color w:val="auto"/>
        </w:rPr>
        <w:t>附表一：</w:t>
      </w:r>
      <w:r>
        <w:rPr>
          <w:rFonts w:hint="eastAsia"/>
          <w:b/>
          <w:color w:val="auto"/>
        </w:rPr>
        <w:t>广东省文化和旅游厅主流电视媒体宣传推广项目</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26"/>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pPr>
              <w:rPr>
                <w:color w:val="auto"/>
              </w:rPr>
            </w:pPr>
            <w:r>
              <w:rPr>
                <w:color w:val="auto"/>
              </w:rPr>
              <w:t>参数性质</w:t>
            </w:r>
          </w:p>
        </w:tc>
        <w:tc>
          <w:tcPr>
            <w:tcW w:w="415" w:type="dxa"/>
            <w:noWrap w:val="0"/>
            <w:vAlign w:val="top"/>
          </w:tcPr>
          <w:p>
            <w:pPr>
              <w:rPr>
                <w:color w:val="auto"/>
              </w:rPr>
            </w:pPr>
            <w:r>
              <w:rPr>
                <w:color w:val="auto"/>
              </w:rPr>
              <w:t>序号</w:t>
            </w:r>
          </w:p>
        </w:tc>
        <w:tc>
          <w:tcPr>
            <w:tcW w:w="5814" w:type="dxa"/>
            <w:noWrap w:val="0"/>
            <w:vAlign w:val="top"/>
          </w:tcPr>
          <w:p>
            <w:pPr>
              <w:rPr>
                <w:color w:val="auto"/>
              </w:rPr>
            </w:pPr>
            <w:r>
              <w:rPr>
                <w:color w:val="auto"/>
              </w:rP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pPr>
              <w:rPr>
                <w:color w:val="auto"/>
              </w:rPr>
            </w:pPr>
          </w:p>
        </w:tc>
        <w:tc>
          <w:tcPr>
            <w:tcW w:w="415" w:type="dxa"/>
            <w:noWrap w:val="0"/>
            <w:vAlign w:val="top"/>
          </w:tcPr>
          <w:p>
            <w:pPr>
              <w:rPr>
                <w:color w:val="auto"/>
              </w:rPr>
            </w:pPr>
            <w:r>
              <w:rPr>
                <w:color w:val="auto"/>
              </w:rPr>
              <w:t>1</w:t>
            </w:r>
          </w:p>
        </w:tc>
        <w:tc>
          <w:tcPr>
            <w:tcW w:w="5814" w:type="dxa"/>
            <w:noWrap w:val="0"/>
            <w:vAlign w:val="top"/>
          </w:tcPr>
          <w:p>
            <w:pPr>
              <w:autoSpaceDE w:val="0"/>
              <w:spacing w:line="360" w:lineRule="auto"/>
              <w:rPr>
                <w:rFonts w:ascii="宋体" w:hAnsi="宋体"/>
                <w:color w:val="auto"/>
                <w:szCs w:val="21"/>
              </w:rPr>
            </w:pPr>
            <w:r>
              <w:rPr>
                <w:rFonts w:hint="eastAsia" w:ascii="宋体" w:hAnsi="宋体"/>
                <w:b/>
                <w:color w:val="auto"/>
                <w:szCs w:val="21"/>
              </w:rPr>
              <w:t>一、项目概况</w:t>
            </w:r>
          </w:p>
          <w:p>
            <w:pPr>
              <w:ind w:firstLine="420" w:firstLineChars="200"/>
              <w:jc w:val="left"/>
              <w:rPr>
                <w:color w:val="auto"/>
              </w:rPr>
            </w:pPr>
            <w:r>
              <w:rPr>
                <w:rFonts w:hint="eastAsia" w:ascii="宋体" w:hAnsi="宋体"/>
                <w:color w:val="auto"/>
                <w:kern w:val="0"/>
                <w:szCs w:val="21"/>
              </w:rPr>
              <w:t>为进一步提升广东文化旅游的知名度和影响力，充分发挥广东区位、生态、文化、旅游等多重资源优势，推广广东文化旅游发展。本项目计划借助主流电视媒体及其融媒体平台，通过视频制作播放、新闻信息报道、融媒体宣传推广等，多形式、多平台宣传展示广东文化和旅游资源、产品、活动、品牌，宣传广东文化强省建设、文化和旅游高质量发展及粤港澳大湾区世界级旅游目的地建设成就。</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pPr>
              <w:rPr>
                <w:color w:val="auto"/>
              </w:rPr>
            </w:pPr>
          </w:p>
        </w:tc>
        <w:tc>
          <w:tcPr>
            <w:tcW w:w="415" w:type="dxa"/>
            <w:noWrap w:val="0"/>
            <w:vAlign w:val="top"/>
          </w:tcPr>
          <w:p>
            <w:pPr>
              <w:rPr>
                <w:color w:val="auto"/>
              </w:rPr>
            </w:pPr>
            <w:r>
              <w:rPr>
                <w:color w:val="auto"/>
              </w:rPr>
              <w:t>2</w:t>
            </w:r>
          </w:p>
        </w:tc>
        <w:tc>
          <w:tcPr>
            <w:tcW w:w="5814" w:type="dxa"/>
            <w:noWrap w:val="0"/>
            <w:vAlign w:val="top"/>
          </w:tcPr>
          <w:p>
            <w:pPr>
              <w:rPr>
                <w:rFonts w:hint="eastAsia"/>
                <w:b/>
                <w:bCs/>
                <w:color w:val="auto"/>
              </w:rPr>
            </w:pPr>
            <w:r>
              <w:rPr>
                <w:rFonts w:hint="eastAsia"/>
                <w:b/>
                <w:bCs/>
                <w:color w:val="auto"/>
              </w:rPr>
              <w:t>二、项目内容</w:t>
            </w:r>
          </w:p>
          <w:p>
            <w:pPr>
              <w:ind w:firstLine="420" w:firstLineChars="200"/>
              <w:rPr>
                <w:rFonts w:hint="eastAsia"/>
                <w:color w:val="auto"/>
              </w:rPr>
            </w:pPr>
            <w:r>
              <w:rPr>
                <w:rFonts w:hint="eastAsia"/>
                <w:color w:val="auto"/>
              </w:rPr>
              <w:t>通过多种媒体传播形式，形成多元化宣传模式，全面展示广东旅游文化资源特色，讲好广东文旅故事、宣传广东文旅产业、推动广东文旅发展，以独特的岭南文化，助力广东文化强省的建设。</w:t>
            </w:r>
          </w:p>
          <w:p>
            <w:pPr>
              <w:rPr>
                <w:rFonts w:hint="eastAsia"/>
                <w:color w:val="auto"/>
              </w:rPr>
            </w:pPr>
            <w:r>
              <w:rPr>
                <w:rFonts w:hint="eastAsia"/>
                <w:color w:val="auto"/>
                <w:lang w:eastAsia="zh-Hans"/>
              </w:rPr>
              <w:t>（</w:t>
            </w:r>
            <w:r>
              <w:rPr>
                <w:rFonts w:hint="eastAsia"/>
                <w:color w:val="auto"/>
              </w:rPr>
              <w:t>一</w:t>
            </w:r>
            <w:r>
              <w:rPr>
                <w:rFonts w:hint="eastAsia"/>
                <w:color w:val="auto"/>
                <w:lang w:eastAsia="zh-Hans"/>
              </w:rPr>
              <w:t>）</w:t>
            </w:r>
            <w:r>
              <w:rPr>
                <w:rFonts w:hint="eastAsia"/>
                <w:color w:val="auto"/>
              </w:rPr>
              <w:t>文化旅游宣传报道</w:t>
            </w:r>
          </w:p>
          <w:p>
            <w:pPr>
              <w:ind w:firstLine="420" w:firstLineChars="200"/>
              <w:rPr>
                <w:rFonts w:hint="eastAsia"/>
                <w:color w:val="auto"/>
              </w:rPr>
            </w:pPr>
            <w:r>
              <w:rPr>
                <w:rFonts w:hint="eastAsia"/>
                <w:color w:val="auto"/>
              </w:rPr>
              <w:t>通过省级电视媒体及新媒体资源，报道文化旅游方面重大活动资讯及推广情况。</w:t>
            </w:r>
          </w:p>
          <w:p>
            <w:pPr>
              <w:rPr>
                <w:rFonts w:hint="eastAsia"/>
                <w:color w:val="auto"/>
              </w:rPr>
            </w:pPr>
            <w:r>
              <w:rPr>
                <w:rFonts w:hint="eastAsia"/>
                <w:color w:val="auto"/>
                <w:lang w:eastAsia="zh-Hans"/>
              </w:rPr>
              <w:t>（</w:t>
            </w:r>
            <w:r>
              <w:rPr>
                <w:rFonts w:hint="eastAsia"/>
                <w:color w:val="auto"/>
              </w:rPr>
              <w:t>二</w:t>
            </w:r>
            <w:r>
              <w:rPr>
                <w:rFonts w:hint="eastAsia"/>
                <w:color w:val="auto"/>
                <w:lang w:eastAsia="zh-Hans"/>
              </w:rPr>
              <w:t>）</w:t>
            </w:r>
            <w:r>
              <w:rPr>
                <w:rFonts w:hint="eastAsia"/>
                <w:color w:val="auto"/>
              </w:rPr>
              <w:t>文化旅游</w:t>
            </w:r>
            <w:r>
              <w:rPr>
                <w:rFonts w:hint="eastAsia"/>
                <w:color w:val="auto"/>
                <w:lang w:eastAsia="zh-Hans"/>
              </w:rPr>
              <w:t>融媒体系列</w:t>
            </w:r>
            <w:r>
              <w:rPr>
                <w:rFonts w:hint="eastAsia"/>
                <w:color w:val="auto"/>
              </w:rPr>
              <w:t>节目</w:t>
            </w:r>
          </w:p>
          <w:p>
            <w:pPr>
              <w:ind w:firstLine="420" w:firstLineChars="200"/>
              <w:rPr>
                <w:rFonts w:hint="eastAsia"/>
                <w:color w:val="auto"/>
              </w:rPr>
            </w:pPr>
            <w:r>
              <w:rPr>
                <w:rFonts w:hint="eastAsia"/>
                <w:color w:val="auto"/>
              </w:rPr>
              <w:t>1、打造</w:t>
            </w:r>
            <w:r>
              <w:rPr>
                <w:rFonts w:hint="eastAsia"/>
                <w:color w:val="auto"/>
                <w:lang w:eastAsia="zh-Hans"/>
              </w:rPr>
              <w:t>一档文化旅游体验综艺节目</w:t>
            </w:r>
            <w:r>
              <w:rPr>
                <w:rFonts w:hint="eastAsia"/>
                <w:color w:val="auto"/>
              </w:rPr>
              <w:t>，打造</w:t>
            </w:r>
            <w:r>
              <w:rPr>
                <w:rFonts w:hint="eastAsia"/>
                <w:color w:val="auto"/>
                <w:lang w:eastAsia="zh-Hans"/>
              </w:rPr>
              <w:t>广东文化旅游风向标</w:t>
            </w:r>
            <w:r>
              <w:rPr>
                <w:rFonts w:hint="eastAsia"/>
                <w:color w:val="auto"/>
              </w:rPr>
              <w:t>。</w:t>
            </w:r>
          </w:p>
          <w:p>
            <w:pPr>
              <w:ind w:firstLine="420" w:firstLineChars="200"/>
              <w:rPr>
                <w:rFonts w:hint="eastAsia"/>
                <w:color w:val="auto"/>
              </w:rPr>
            </w:pPr>
            <w:r>
              <w:rPr>
                <w:rFonts w:hint="eastAsia"/>
                <w:color w:val="auto"/>
              </w:rPr>
              <w:t>2、在不少于3个省级电视媒体频道播出，每期30分钟，合计15期。</w:t>
            </w:r>
          </w:p>
          <w:p>
            <w:pPr>
              <w:ind w:firstLine="420" w:firstLineChars="200"/>
              <w:rPr>
                <w:rFonts w:hint="eastAsia"/>
                <w:color w:val="auto"/>
              </w:rPr>
            </w:pPr>
            <w:r>
              <w:rPr>
                <w:rFonts w:hint="eastAsia"/>
                <w:color w:val="auto"/>
              </w:rPr>
              <w:t>3、全年配合新媒体宣传，发布推文不低于50篇，短视频制作及发布不低于50条，全国省级电视媒体新媒体端直播推荐广东不低于10场。</w:t>
            </w:r>
          </w:p>
          <w:p>
            <w:pPr>
              <w:rPr>
                <w:rFonts w:hint="eastAsia"/>
                <w:color w:val="auto"/>
              </w:rPr>
            </w:pPr>
            <w:r>
              <w:rPr>
                <w:rFonts w:hint="eastAsia"/>
                <w:color w:val="auto"/>
              </w:rPr>
              <w:t>（三）非遗文化系列融媒体活动</w:t>
            </w:r>
          </w:p>
          <w:p>
            <w:pPr>
              <w:ind w:firstLine="420" w:firstLineChars="200"/>
              <w:rPr>
                <w:rFonts w:hint="eastAsia"/>
                <w:color w:val="auto"/>
                <w:lang w:eastAsia="zh-Hans"/>
              </w:rPr>
            </w:pPr>
            <w:r>
              <w:rPr>
                <w:rFonts w:hint="eastAsia"/>
                <w:color w:val="auto"/>
              </w:rPr>
              <w:t>1、</w:t>
            </w:r>
            <w:r>
              <w:rPr>
                <w:rFonts w:hint="eastAsia"/>
                <w:color w:val="auto"/>
                <w:lang w:eastAsia="zh-Hans"/>
              </w:rPr>
              <w:t>开展</w:t>
            </w:r>
            <w:r>
              <w:rPr>
                <w:rFonts w:hint="eastAsia"/>
                <w:color w:val="auto"/>
              </w:rPr>
              <w:t>线上非遗直播活动，</w:t>
            </w:r>
            <w:r>
              <w:rPr>
                <w:rFonts w:hint="eastAsia"/>
                <w:color w:val="auto"/>
                <w:lang w:eastAsia="zh-Hans"/>
              </w:rPr>
              <w:t>普及非遗知识，弘扬中华优秀传统文化。</w:t>
            </w:r>
          </w:p>
          <w:p>
            <w:pPr>
              <w:ind w:firstLine="420" w:firstLineChars="200"/>
              <w:rPr>
                <w:rFonts w:hint="eastAsia"/>
                <w:color w:val="auto"/>
                <w:lang w:eastAsia="zh-Hans"/>
              </w:rPr>
            </w:pPr>
            <w:r>
              <w:rPr>
                <w:rFonts w:hint="eastAsia"/>
                <w:color w:val="auto"/>
              </w:rPr>
              <w:t>2、开展线下非遗活动，</w:t>
            </w:r>
            <w:r>
              <w:rPr>
                <w:rFonts w:hint="eastAsia"/>
                <w:color w:val="auto"/>
                <w:lang w:eastAsia="zh-Hans"/>
              </w:rPr>
              <w:t>展示岭南丰富多样的文化与技艺。</w:t>
            </w:r>
          </w:p>
          <w:p>
            <w:pPr>
              <w:ind w:firstLine="420" w:firstLineChars="200"/>
              <w:rPr>
                <w:rFonts w:hint="eastAsia"/>
                <w:color w:val="auto"/>
              </w:rPr>
            </w:pPr>
            <w:r>
              <w:rPr>
                <w:rFonts w:hint="eastAsia"/>
                <w:color w:val="auto"/>
              </w:rPr>
              <w:t>3、全年配合宣传推广，发布推文不低于20篇，短视频不低于20条，</w:t>
            </w:r>
            <w:r>
              <w:rPr>
                <w:rFonts w:hint="eastAsia"/>
                <w:color w:val="auto"/>
                <w:lang w:eastAsia="zh-Hans"/>
              </w:rPr>
              <w:t>微纪录片不少于10条。</w:t>
            </w:r>
          </w:p>
          <w:p>
            <w:pPr>
              <w:rPr>
                <w:rFonts w:hint="eastAsia"/>
                <w:color w:val="auto"/>
              </w:rPr>
            </w:pPr>
            <w:r>
              <w:rPr>
                <w:rFonts w:hint="eastAsia"/>
                <w:color w:val="auto"/>
              </w:rPr>
              <w:t>（四）搭建广东文旅专区</w:t>
            </w:r>
          </w:p>
          <w:p>
            <w:pPr>
              <w:ind w:firstLine="420" w:firstLineChars="200"/>
              <w:rPr>
                <w:rFonts w:hint="eastAsia"/>
                <w:color w:val="auto"/>
              </w:rPr>
            </w:pPr>
            <w:r>
              <w:rPr>
                <w:rFonts w:hint="eastAsia"/>
                <w:color w:val="auto"/>
              </w:rPr>
              <w:t>1、</w:t>
            </w:r>
            <w:r>
              <w:rPr>
                <w:rFonts w:hint="eastAsia"/>
                <w:color w:val="auto"/>
                <w:lang w:eastAsia="zh-Hans"/>
              </w:rPr>
              <w:t>在</w:t>
            </w:r>
            <w:r>
              <w:rPr>
                <w:rFonts w:hint="eastAsia"/>
                <w:color w:val="auto"/>
              </w:rPr>
              <w:t>知名APP</w:t>
            </w:r>
            <w:r>
              <w:rPr>
                <w:rFonts w:hint="eastAsia"/>
                <w:color w:val="auto"/>
                <w:lang w:eastAsia="zh-Hans"/>
              </w:rPr>
              <w:t>开设广东文旅专区，</w:t>
            </w:r>
            <w:r>
              <w:rPr>
                <w:rFonts w:hint="eastAsia"/>
                <w:color w:val="auto"/>
              </w:rPr>
              <w:t>设置不同主题板块。</w:t>
            </w:r>
          </w:p>
          <w:p>
            <w:pPr>
              <w:ind w:firstLine="420" w:firstLineChars="200"/>
              <w:rPr>
                <w:rFonts w:hint="eastAsia"/>
                <w:color w:val="auto"/>
              </w:rPr>
            </w:pPr>
            <w:r>
              <w:rPr>
                <w:rFonts w:hint="eastAsia"/>
                <w:color w:val="auto"/>
              </w:rPr>
              <w:t>2、</w:t>
            </w:r>
            <w:r>
              <w:rPr>
                <w:rFonts w:hint="eastAsia"/>
                <w:color w:val="auto"/>
                <w:lang w:eastAsia="zh-Hans"/>
              </w:rPr>
              <w:t>收录融媒体系列</w:t>
            </w:r>
            <w:r>
              <w:rPr>
                <w:rFonts w:hint="eastAsia"/>
                <w:color w:val="auto"/>
              </w:rPr>
              <w:t>节</w:t>
            </w:r>
            <w:r>
              <w:rPr>
                <w:rFonts w:hint="eastAsia"/>
                <w:color w:val="auto"/>
                <w:lang w:eastAsia="zh-Hans"/>
              </w:rPr>
              <w:t>目</w:t>
            </w:r>
            <w:r>
              <w:rPr>
                <w:rFonts w:hint="eastAsia"/>
                <w:color w:val="auto"/>
              </w:rPr>
              <w:t>，实现随时随地播放节目。</w:t>
            </w:r>
          </w:p>
          <w:p>
            <w:pPr>
              <w:ind w:firstLine="420" w:firstLineChars="200"/>
              <w:rPr>
                <w:rFonts w:hint="eastAsia"/>
                <w:color w:val="auto"/>
              </w:rPr>
            </w:pPr>
            <w:r>
              <w:rPr>
                <w:rFonts w:hint="eastAsia"/>
                <w:color w:val="auto"/>
              </w:rPr>
              <w:t>3、配合融媒体系列节目的不同主题内容，开展系列线上文旅活动。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pPr>
              <w:rPr>
                <w:color w:val="auto"/>
              </w:rPr>
            </w:pPr>
          </w:p>
        </w:tc>
        <w:tc>
          <w:tcPr>
            <w:tcW w:w="415" w:type="dxa"/>
            <w:noWrap w:val="0"/>
            <w:vAlign w:val="top"/>
          </w:tcPr>
          <w:p>
            <w:pPr>
              <w:rPr>
                <w:color w:val="auto"/>
              </w:rPr>
            </w:pPr>
            <w:r>
              <w:rPr>
                <w:color w:val="auto"/>
              </w:rPr>
              <w:t>3</w:t>
            </w:r>
          </w:p>
        </w:tc>
        <w:tc>
          <w:tcPr>
            <w:tcW w:w="5814" w:type="dxa"/>
            <w:noWrap w:val="0"/>
            <w:vAlign w:val="top"/>
          </w:tcPr>
          <w:p>
            <w:pPr>
              <w:rPr>
                <w:rFonts w:hint="eastAsia"/>
                <w:b/>
                <w:bCs/>
                <w:color w:val="auto"/>
              </w:rPr>
            </w:pPr>
            <w:r>
              <w:rPr>
                <w:rFonts w:hint="eastAsia"/>
                <w:b/>
                <w:bCs/>
                <w:color w:val="auto"/>
              </w:rPr>
              <w:t>三、项目服务要求</w:t>
            </w:r>
          </w:p>
          <w:p>
            <w:pPr>
              <w:ind w:firstLine="420" w:firstLineChars="200"/>
              <w:rPr>
                <w:rFonts w:hint="eastAsia"/>
                <w:color w:val="auto"/>
              </w:rPr>
            </w:pPr>
            <w:r>
              <w:rPr>
                <w:rFonts w:hint="eastAsia"/>
                <w:color w:val="auto"/>
              </w:rPr>
              <w:t>1. 成交人电视媒体应能覆盖粤港澳地区及海外地区；</w:t>
            </w:r>
          </w:p>
          <w:p>
            <w:pPr>
              <w:ind w:firstLine="420" w:firstLineChars="200"/>
              <w:rPr>
                <w:rFonts w:hint="eastAsia"/>
                <w:color w:val="auto"/>
              </w:rPr>
            </w:pPr>
            <w:r>
              <w:rPr>
                <w:rFonts w:hint="eastAsia"/>
                <w:color w:val="auto"/>
              </w:rPr>
              <w:t>2. 成交人应具备良好的视频制作、媒体发布、维护和执行能力，具有良好的项目执行团队；</w:t>
            </w:r>
          </w:p>
          <w:p>
            <w:pPr>
              <w:ind w:firstLine="420" w:firstLineChars="200"/>
              <w:rPr>
                <w:rFonts w:hint="eastAsia"/>
                <w:b/>
                <w:bCs/>
                <w:color w:val="auto"/>
              </w:rPr>
            </w:pPr>
            <w:r>
              <w:rPr>
                <w:rFonts w:hint="eastAsia"/>
                <w:color w:val="auto"/>
              </w:rPr>
              <w:t>3. 成交人应具备在相关媒体平台投放的资质或能力（提供承诺函形式响应，格式自拟）。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pPr>
              <w:rPr>
                <w:color w:val="auto"/>
              </w:rPr>
            </w:pPr>
          </w:p>
        </w:tc>
        <w:tc>
          <w:tcPr>
            <w:tcW w:w="415" w:type="dxa"/>
            <w:noWrap w:val="0"/>
            <w:vAlign w:val="top"/>
          </w:tcPr>
          <w:p>
            <w:pPr>
              <w:rPr>
                <w:color w:val="auto"/>
              </w:rPr>
            </w:pPr>
            <w:r>
              <w:rPr>
                <w:color w:val="auto"/>
              </w:rPr>
              <w:t>4</w:t>
            </w:r>
          </w:p>
        </w:tc>
        <w:tc>
          <w:tcPr>
            <w:tcW w:w="5814" w:type="dxa"/>
            <w:noWrap w:val="0"/>
            <w:vAlign w:val="top"/>
          </w:tcPr>
          <w:p>
            <w:pPr>
              <w:rPr>
                <w:rFonts w:hint="eastAsia"/>
                <w:b/>
                <w:bCs/>
                <w:color w:val="auto"/>
              </w:rPr>
            </w:pPr>
            <w:r>
              <w:rPr>
                <w:rFonts w:hint="eastAsia"/>
                <w:b/>
                <w:bCs/>
                <w:color w:val="auto"/>
              </w:rPr>
              <w:t>四、其他服务要求</w:t>
            </w:r>
          </w:p>
          <w:p>
            <w:pPr>
              <w:rPr>
                <w:rFonts w:hint="eastAsia"/>
                <w:color w:val="auto"/>
              </w:rPr>
            </w:pPr>
            <w:r>
              <w:rPr>
                <w:rFonts w:hint="eastAsia"/>
                <w:color w:val="auto"/>
              </w:rPr>
              <w:t>（一）服务计划要求：</w:t>
            </w:r>
          </w:p>
          <w:p>
            <w:pPr>
              <w:ind w:firstLine="420" w:firstLineChars="200"/>
              <w:rPr>
                <w:rFonts w:hint="eastAsia"/>
                <w:color w:val="auto"/>
              </w:rPr>
            </w:pPr>
            <w:r>
              <w:rPr>
                <w:rFonts w:hint="eastAsia"/>
                <w:color w:val="auto"/>
              </w:rPr>
              <w:t>成交供应商应制定详尽的工作计划，全面落实执行并完成项目任务及相关工作内容。及时向采购人报告有关服务内容的规定进度、完成情况和当前时间段的工作状况，以及下一个时间段计划的工作内容，并应针对项目的实际进展情况提出建议。</w:t>
            </w:r>
          </w:p>
          <w:p>
            <w:pPr>
              <w:rPr>
                <w:rFonts w:hint="eastAsia"/>
                <w:color w:val="auto"/>
              </w:rPr>
            </w:pPr>
            <w:r>
              <w:rPr>
                <w:rFonts w:hint="eastAsia"/>
                <w:color w:val="auto"/>
              </w:rPr>
              <w:t>（二）成交供应商应为本项目提供分工组织明确的服务架构并制定各岗位人员的工作职责及工作制度，全面落实执行并完成项目任务及相关工作内容。及时向采购人报告有关各项工作的进度、完成情况及效果，并应针对文化和旅游宣传推广提出优化建议。</w:t>
            </w:r>
          </w:p>
          <w:p>
            <w:pPr>
              <w:rPr>
                <w:rFonts w:hint="eastAsia"/>
                <w:color w:val="auto"/>
              </w:rPr>
            </w:pPr>
            <w:r>
              <w:rPr>
                <w:rFonts w:hint="eastAsia"/>
                <w:color w:val="auto"/>
              </w:rPr>
              <w:t>（三）知识产权及服务成果要求：</w:t>
            </w:r>
          </w:p>
          <w:p>
            <w:pPr>
              <w:ind w:firstLine="420" w:firstLineChars="200"/>
              <w:rPr>
                <w:rFonts w:hint="eastAsia"/>
                <w:color w:val="auto"/>
              </w:rPr>
            </w:pPr>
            <w:r>
              <w:rPr>
                <w:rFonts w:hint="eastAsia"/>
                <w:color w:val="auto"/>
              </w:rPr>
              <w:t>1. 成交供应商提供采购人使用或交付采购人的所有软件，包括系统软件、应用软件、工具软件等必须具有在中国境内的合法使用权或版权的正版软件，涉及到任何第三方提出侵权或知识产权的起诉及支付版税等一切费用和责任，由成交供应商承担。因此而造成采购人承担赔偿等责任的，采购人有权向成交供应商追偿。</w:t>
            </w:r>
          </w:p>
          <w:p>
            <w:pPr>
              <w:ind w:firstLine="420" w:firstLineChars="200"/>
              <w:rPr>
                <w:rFonts w:hint="eastAsia"/>
                <w:color w:val="auto"/>
              </w:rPr>
            </w:pPr>
            <w:r>
              <w:rPr>
                <w:rFonts w:hint="eastAsia"/>
                <w:color w:val="auto"/>
              </w:rPr>
              <w:t>2. 成交供应商需对所有成果、产品的知识产权负有瑕疵担保责任，因使用未被授权使用的技术、影音素材、系统软件、通用软件等知识产权问题引起的纠纷所产生的所有责任及费用由成交供应商自行承担。成交供应商提供采购人使用或交付采购人的网页、图片、视频、文字等全部创作及制作宣传推广的内容不得侵犯采购人及第三方知识产权，涉及到任何第三方提出侵权或知识产权的起诉及支付版税等一切费用和责任，由成交供应商承担。因此而造成采购人承担赔偿等责任的，采购人有权向成交供应商追偿。</w:t>
            </w:r>
          </w:p>
          <w:p>
            <w:pPr>
              <w:ind w:firstLine="420" w:firstLineChars="200"/>
              <w:rPr>
                <w:rFonts w:hint="eastAsia"/>
                <w:color w:val="auto"/>
              </w:rPr>
            </w:pPr>
            <w:r>
              <w:rPr>
                <w:rFonts w:hint="eastAsia"/>
                <w:color w:val="auto"/>
              </w:rPr>
              <w:t>3. 履行本合同服务工作而产生的所有技术创新、发明专利、研究成果、网页、图片、视频、文字等全部创作，以及制作发布的内容的知识产权归采购人所有。</w:t>
            </w:r>
          </w:p>
          <w:p>
            <w:pPr>
              <w:rPr>
                <w:rFonts w:hint="eastAsia"/>
                <w:color w:val="auto"/>
              </w:rPr>
            </w:pPr>
            <w:r>
              <w:rPr>
                <w:rFonts w:hint="eastAsia"/>
                <w:color w:val="auto"/>
              </w:rPr>
              <w:t>（四）成交供应商及其服务人员对本项目服务过程中所涉及的所有采购人不允许公开发布的信息、文稿等保密信息负有保密责任。</w:t>
            </w:r>
          </w:p>
          <w:p>
            <w:pPr>
              <w:rPr>
                <w:rFonts w:hint="eastAsia"/>
                <w:b/>
                <w:bCs/>
                <w:color w:val="auto"/>
              </w:rPr>
            </w:pPr>
            <w:r>
              <w:rPr>
                <w:rFonts w:hint="eastAsia"/>
                <w:color w:val="auto"/>
              </w:rPr>
              <w:t>（五）成交供应商不得将本项目服务进行转包或分包。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pPr>
              <w:rPr>
                <w:color w:val="auto"/>
              </w:rPr>
            </w:pPr>
          </w:p>
        </w:tc>
        <w:tc>
          <w:tcPr>
            <w:tcW w:w="415" w:type="dxa"/>
            <w:noWrap w:val="0"/>
            <w:vAlign w:val="top"/>
          </w:tcPr>
          <w:p>
            <w:pPr>
              <w:rPr>
                <w:rFonts w:hint="eastAsia"/>
                <w:color w:val="auto"/>
              </w:rPr>
            </w:pPr>
            <w:r>
              <w:rPr>
                <w:rFonts w:hint="eastAsia"/>
                <w:color w:val="auto"/>
              </w:rPr>
              <w:t>5</w:t>
            </w:r>
          </w:p>
        </w:tc>
        <w:tc>
          <w:tcPr>
            <w:tcW w:w="5814" w:type="dxa"/>
            <w:noWrap w:val="0"/>
            <w:vAlign w:val="top"/>
          </w:tcPr>
          <w:p>
            <w:pPr>
              <w:rPr>
                <w:rFonts w:hint="eastAsia"/>
                <w:b/>
                <w:bCs/>
                <w:color w:val="auto"/>
              </w:rPr>
            </w:pPr>
            <w:r>
              <w:rPr>
                <w:rFonts w:hint="eastAsia"/>
                <w:b/>
                <w:bCs/>
                <w:color w:val="auto"/>
              </w:rPr>
              <w:t>五、报价要求</w:t>
            </w:r>
          </w:p>
          <w:p>
            <w:pPr>
              <w:ind w:firstLine="420" w:firstLineChars="200"/>
              <w:rPr>
                <w:rFonts w:hint="eastAsia"/>
                <w:color w:val="auto"/>
              </w:rPr>
            </w:pPr>
            <w:r>
              <w:rPr>
                <w:rFonts w:hint="eastAsia"/>
                <w:color w:val="auto"/>
              </w:rPr>
              <w:t>供应商报价已必须包含但不限于雇员费用，策划费用，媒体投放费用，素材收集、购置费用，平面或视频等各类成果制作费用，各类工具设备材料费用，版权专利，全额含税发票所有不可预见的隐含费用及一切技术和服务费（含相关技术指导与培训费），以及供应商认为完成本项目及合同实施过程中应预见和不可预见的其他一切含税费用。采购人不承担其他任何费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pPr>
              <w:rPr>
                <w:color w:val="auto"/>
              </w:rPr>
            </w:pPr>
            <w:r>
              <w:rPr>
                <w:color w:val="auto"/>
              </w:rPr>
              <w:t>说明</w:t>
            </w:r>
          </w:p>
        </w:tc>
        <w:tc>
          <w:tcPr>
            <w:tcW w:w="6229" w:type="dxa"/>
            <w:gridSpan w:val="2"/>
            <w:noWrap w:val="0"/>
            <w:vAlign w:val="top"/>
          </w:tcPr>
          <w:p>
            <w:pPr>
              <w:jc w:val="left"/>
              <w:rPr>
                <w:color w:val="auto"/>
              </w:rPr>
            </w:pPr>
            <w:r>
              <w:rPr>
                <w:color w:val="auto"/>
              </w:rPr>
              <w:t>打“★”号条款为实质性条款，若有任何一条负偏离或不满足则导致投标无效。</w:t>
            </w:r>
            <w:r>
              <w:rPr>
                <w:color w:val="auto"/>
              </w:rPr>
              <w:br w:type="textWrapping"/>
            </w:r>
            <w:r>
              <w:rPr>
                <w:color w:val="auto"/>
              </w:rPr>
              <w:t>打“▲”号条款为重要技术参数，若有部分“▲”条款未响应或不满足，将导致其响应性评审加重扣分，但不作为无效投标条款。</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kZGVkMzI3M2M1NDhkYWU0NGJkNDM1ZTYzNzBjMmEifQ=="/>
  </w:docVars>
  <w:rsids>
    <w:rsidRoot w:val="00000000"/>
    <w:rsid w:val="662B2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spacing w:line="360" w:lineRule="auto"/>
      <w:ind w:left="181" w:firstLine="420"/>
    </w:pPr>
    <w:rPr>
      <w:rFonts w:ascii="Times New Roman" w:hAnsi="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2023-01-06T02:28:46Z</dcterms:created>
  <dc:creator>张雪健</dc:creator>
  <cp:lastModifiedBy>张雪健</cp:lastModifiedBy>
  <dcterms:modified xsi:type="dcterms:W3CDTF">2023-01-06T02:28:55Z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CEC7C56BAD8B4FBC958C3F601FCCA722</vt:lpwstr>
  </property>
</Properties>
</file>